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70A" w:rsidRPr="00202F14" w:rsidRDefault="0066170A" w:rsidP="008C7215">
      <w:pPr>
        <w:ind w:firstLine="360"/>
        <w:rPr>
          <w:b/>
        </w:rPr>
      </w:pPr>
      <w:r w:rsidRPr="00202F14">
        <w:rPr>
          <w:b/>
        </w:rPr>
        <w:t xml:space="preserve">Projekt uchwały zmieniającej uchwałę Rady Miasta Rzeszowa – w sprawie ustanowienia ulg w opłatach za usługi przewozowe w publicznym transporcie zbiorowym w zakresie zadania o charakterze użyteczności publicznej na terenie Gminy Miasta Rzeszów: </w:t>
      </w:r>
    </w:p>
    <w:p w:rsidR="0066170A" w:rsidRPr="00202F14" w:rsidRDefault="0066170A" w:rsidP="008C7215"/>
    <w:p w:rsidR="0066170A" w:rsidRPr="00202F14" w:rsidRDefault="0066170A" w:rsidP="008C7215">
      <w:pPr>
        <w:pStyle w:val="ListParagraph"/>
        <w:numPr>
          <w:ilvl w:val="0"/>
          <w:numId w:val="1"/>
        </w:numPr>
      </w:pPr>
      <w:r w:rsidRPr="00202F14">
        <w:t xml:space="preserve">został parafowany przez </w:t>
      </w:r>
      <w:r w:rsidRPr="0079090C">
        <w:rPr>
          <w:b/>
          <w:u w:val="single"/>
        </w:rPr>
        <w:t>Prezydenta Miasta Pana Tadeusza Ferenca</w:t>
      </w:r>
      <w:r w:rsidRPr="00202F14">
        <w:t>, Dyrektora ZTM-u Pana Łukasza Dziągwę oraz adwokata Łukasza Kurowskiego i Dyrektor Biura Obsługi Prawnej Urzędu Miasta Rzeszowa Panią Janinę Załuską,</w:t>
      </w:r>
    </w:p>
    <w:p w:rsidR="0066170A" w:rsidRDefault="0066170A" w:rsidP="008C7215">
      <w:pPr>
        <w:pStyle w:val="ListParagraph"/>
        <w:numPr>
          <w:ilvl w:val="0"/>
          <w:numId w:val="1"/>
        </w:numPr>
      </w:pPr>
      <w:r w:rsidRPr="00202F14">
        <w:t xml:space="preserve">został pozytywnie zaopiniowany (6 głosami „za”) przez Komisję Gospodarki Komunalnej, Mieszkalnictwa i Ochrony </w:t>
      </w:r>
      <w:r>
        <w:t>Środowiska Rady Miasta Rzeszowa,</w:t>
      </w:r>
    </w:p>
    <w:p w:rsidR="0066170A" w:rsidRPr="00B40490" w:rsidRDefault="0066170A" w:rsidP="008C7215">
      <w:pPr>
        <w:pStyle w:val="ListParagraph"/>
        <w:numPr>
          <w:ilvl w:val="0"/>
          <w:numId w:val="1"/>
        </w:numPr>
      </w:pPr>
      <w:r>
        <w:t xml:space="preserve">został uzasadniony w następujący sposób: </w:t>
      </w:r>
      <w:r w:rsidRPr="00B40490">
        <w:rPr>
          <w:i/>
        </w:rPr>
        <w:t xml:space="preserve">„Niniejszą uchwałą wykreśleniu ulegają legitymacje Polskiego Związku Niewidomych oraz Polskiego Związku Głuchych jako dokumenty potwierdzające uprawnienia do ulgi samorządowej. </w:t>
      </w:r>
      <w:r w:rsidRPr="004475ED">
        <w:rPr>
          <w:b/>
          <w:i/>
        </w:rPr>
        <w:t>Wystarczającym będzie przedstawienie stosownego orzeczenia o stopniu niepełnosprawności</w:t>
      </w:r>
      <w:r w:rsidRPr="00B40490">
        <w:rPr>
          <w:i/>
        </w:rPr>
        <w:t xml:space="preserve">, podobnie jak w przypadku innych przyczyn niepełnosprawności. </w:t>
      </w:r>
      <w:r w:rsidRPr="004475ED">
        <w:rPr>
          <w:b/>
          <w:i/>
        </w:rPr>
        <w:t>Zmiana dotyczy również wykreślenia osób ociemniałych, które z tego tytułu dysponują orzeczeniem o stopniu niepełnosprawności, co zostało już uregulowane w innym punkcie niniejszej uchwały, a zatem osoby te zachowują prawo do ulgi</w:t>
      </w:r>
      <w:r w:rsidRPr="00B40490">
        <w:rPr>
          <w:i/>
        </w:rPr>
        <w:t>.”</w:t>
      </w:r>
    </w:p>
    <w:p w:rsidR="0066170A" w:rsidRDefault="0066170A" w:rsidP="008C7215"/>
    <w:p w:rsidR="0066170A" w:rsidRPr="00202F14" w:rsidRDefault="0066170A" w:rsidP="00475A62">
      <w:pPr>
        <w:ind w:firstLine="360"/>
      </w:pPr>
      <w:r w:rsidRPr="009B2261">
        <w:rPr>
          <w:b/>
          <w:u w:val="single"/>
        </w:rPr>
        <w:t>Na sesji w dniu 28 stycznia 2014 r.</w:t>
      </w:r>
      <w:r w:rsidRPr="00202F14">
        <w:t xml:space="preserve"> projekt przedstawił Zastępca Prezydenta Pan Marek Ustrobiński. Odczytał uzasadnienie do projektu uchwały i dodał, że jej celem jest usprawnienie korzystania z komunikacji zbiorowej dla osób dysponujących orzeczeniem </w:t>
      </w:r>
      <w:r>
        <w:br/>
      </w:r>
      <w:r w:rsidRPr="00202F14">
        <w:t>o stopniu niepełnosprawności.</w:t>
      </w:r>
    </w:p>
    <w:p w:rsidR="0066170A" w:rsidRPr="00202F14" w:rsidRDefault="0066170A" w:rsidP="00475A62">
      <w:pPr>
        <w:ind w:firstLine="360"/>
      </w:pPr>
    </w:p>
    <w:p w:rsidR="0066170A" w:rsidRPr="004475ED" w:rsidRDefault="0066170A" w:rsidP="00475A62">
      <w:pPr>
        <w:ind w:firstLine="360"/>
      </w:pPr>
      <w:r w:rsidRPr="004475ED">
        <w:rPr>
          <w:b/>
        </w:rPr>
        <w:t>Uchwała została przyjęta jednomyślnie – 21 głosami „za”.</w:t>
      </w:r>
      <w:r w:rsidRPr="004475ED">
        <w:t xml:space="preserve"> </w:t>
      </w:r>
    </w:p>
    <w:p w:rsidR="0066170A" w:rsidRDefault="0066170A" w:rsidP="008C7215"/>
    <w:p w:rsidR="0066170A" w:rsidRDefault="0066170A" w:rsidP="008C7215">
      <w:r>
        <w:t>Szczegółowe informacje o przepisach ich znaczeniu oraz skutkach poszczególnych zapisów naszej uchwały zamieszczone są niżej. Ich kwintesencja jest taka.</w:t>
      </w:r>
    </w:p>
    <w:p w:rsidR="0066170A" w:rsidRDefault="0066170A" w:rsidP="008C7215"/>
    <w:p w:rsidR="0066170A" w:rsidRDefault="0066170A" w:rsidP="004475ED">
      <w:pPr>
        <w:ind w:firstLine="360"/>
      </w:pPr>
      <w:r>
        <w:t xml:space="preserve">Radni nie mieli szczegółowych informacji na temat stopni niepełnosprawności oraz sposobu ich określania w przypadku osób z chorobami narządu wzroku. Natomiast w oparciu o przedstawione uzasadnienie do projektu uchwały mieli prawo przyjąć, że nikt na tej zmianie uprawnień do ulg nie traci, lecz wręcz zyskuje. Ponieważ na ogół przyjmują za dobrą monetę wyjaśnienia przedstawicieli Urzędu, nie mieli powodów wgłębiać się w szczegóły i dopytywać, na jakiej podstawie i dla kogo Polski Związek Niewidomych wydaje legitymacje. </w:t>
      </w:r>
    </w:p>
    <w:p w:rsidR="0066170A" w:rsidRDefault="0066170A" w:rsidP="008C7215"/>
    <w:p w:rsidR="0066170A" w:rsidRPr="004475ED" w:rsidRDefault="0066170A" w:rsidP="008C7215">
      <w:pPr>
        <w:pStyle w:val="NormalWeb"/>
        <w:spacing w:before="0" w:beforeAutospacing="0" w:after="0" w:afterAutospacing="0"/>
        <w:ind w:firstLine="360"/>
        <w:jc w:val="both"/>
        <w:rPr>
          <w:rFonts w:ascii="Palatino Linotype" w:hAnsi="Palatino Linotype"/>
          <w:b/>
          <w:sz w:val="22"/>
          <w:szCs w:val="22"/>
          <w:u w:val="single"/>
        </w:rPr>
      </w:pPr>
      <w:r w:rsidRPr="004475ED">
        <w:rPr>
          <w:rFonts w:ascii="Palatino Linotype" w:hAnsi="Palatino Linotype"/>
          <w:b/>
          <w:sz w:val="22"/>
          <w:szCs w:val="22"/>
          <w:u w:val="single"/>
        </w:rPr>
        <w:t>Przepisy ogólnopolskie</w:t>
      </w:r>
    </w:p>
    <w:p w:rsidR="0066170A" w:rsidRDefault="0066170A" w:rsidP="008C7215">
      <w:pPr>
        <w:pStyle w:val="NormalWeb"/>
        <w:spacing w:before="0" w:beforeAutospacing="0" w:after="0" w:afterAutospacing="0"/>
        <w:ind w:firstLine="360"/>
        <w:jc w:val="both"/>
        <w:rPr>
          <w:rFonts w:ascii="Palatino Linotype" w:hAnsi="Palatino Linotype"/>
          <w:sz w:val="22"/>
          <w:szCs w:val="22"/>
        </w:rPr>
      </w:pPr>
    </w:p>
    <w:p w:rsidR="0066170A" w:rsidRPr="00202F14" w:rsidRDefault="0066170A" w:rsidP="008C7215">
      <w:pPr>
        <w:pStyle w:val="NormalWeb"/>
        <w:spacing w:before="0" w:beforeAutospacing="0" w:after="0" w:afterAutospacing="0"/>
        <w:ind w:firstLine="360"/>
        <w:jc w:val="both"/>
        <w:rPr>
          <w:rFonts w:ascii="Palatino Linotype" w:hAnsi="Palatino Linotype"/>
          <w:sz w:val="22"/>
          <w:szCs w:val="22"/>
        </w:rPr>
      </w:pPr>
      <w:r w:rsidRPr="00202F14">
        <w:rPr>
          <w:rFonts w:ascii="Palatino Linotype" w:hAnsi="Palatino Linotype"/>
          <w:sz w:val="22"/>
          <w:szCs w:val="22"/>
        </w:rPr>
        <w:t xml:space="preserve">Ulgi przy przejazdach środkami komunikacji miejskiej dla osób niewidomych </w:t>
      </w:r>
      <w:r>
        <w:rPr>
          <w:rFonts w:ascii="Palatino Linotype" w:hAnsi="Palatino Linotype"/>
          <w:sz w:val="22"/>
          <w:szCs w:val="22"/>
        </w:rPr>
        <w:br/>
      </w:r>
      <w:r w:rsidRPr="00202F14">
        <w:rPr>
          <w:rFonts w:ascii="Palatino Linotype" w:hAnsi="Palatino Linotype"/>
          <w:sz w:val="22"/>
          <w:szCs w:val="22"/>
        </w:rPr>
        <w:t>i słabowidzących nie są zagwarantowane przepisami powszechnie obowiązującymi (jak to ma miejsce w przypadku komunikacji kolejowej i PKS).</w:t>
      </w:r>
      <w:r>
        <w:rPr>
          <w:rFonts w:ascii="Palatino Linotype" w:hAnsi="Palatino Linotype"/>
          <w:sz w:val="22"/>
          <w:szCs w:val="22"/>
        </w:rPr>
        <w:t xml:space="preserve"> </w:t>
      </w:r>
      <w:r w:rsidRPr="00202F14">
        <w:rPr>
          <w:rFonts w:ascii="Palatino Linotype" w:hAnsi="Palatino Linotype"/>
          <w:sz w:val="22"/>
          <w:szCs w:val="22"/>
        </w:rPr>
        <w:t>Kwestie te reguluje w każdym mieście rada gminy w drodze uchwały, stąd zasady korzystania z ulgowych przejazdów w różnych miastach są odmienne.</w:t>
      </w:r>
    </w:p>
    <w:p w:rsidR="0066170A" w:rsidRDefault="0066170A" w:rsidP="008C7215">
      <w:pPr>
        <w:pStyle w:val="NormalWeb"/>
        <w:spacing w:before="0" w:beforeAutospacing="0" w:after="0" w:afterAutospacing="0"/>
        <w:ind w:firstLine="360"/>
        <w:jc w:val="both"/>
        <w:rPr>
          <w:rFonts w:ascii="Palatino Linotype" w:hAnsi="Palatino Linotype"/>
          <w:sz w:val="22"/>
          <w:szCs w:val="22"/>
        </w:rPr>
      </w:pPr>
      <w:r w:rsidRPr="00202F14">
        <w:rPr>
          <w:rFonts w:ascii="Palatino Linotype" w:hAnsi="Palatino Linotype"/>
          <w:sz w:val="22"/>
          <w:szCs w:val="22"/>
        </w:rPr>
        <w:t xml:space="preserve">Wysokość ulg przy przejazdach środkami komunikacji miejskiej przysługujących osobom niewidomym i słabowidzącym oraz ich przewodnikom, a także rodzaje dokumentów, jakimi osoby te potwierdzają swoje uprawnienia, określa uchwała obowiązująca na terenie danej miejscowości. Regulacje mogą być bardzo różne </w:t>
      </w:r>
      <w:r>
        <w:rPr>
          <w:rFonts w:ascii="Palatino Linotype" w:hAnsi="Palatino Linotype"/>
          <w:sz w:val="22"/>
          <w:szCs w:val="22"/>
        </w:rPr>
        <w:t xml:space="preserve">– </w:t>
      </w:r>
      <w:r w:rsidRPr="00202F14">
        <w:rPr>
          <w:rFonts w:ascii="Palatino Linotype" w:hAnsi="Palatino Linotype"/>
          <w:sz w:val="22"/>
          <w:szCs w:val="22"/>
        </w:rPr>
        <w:t>od ulgi w wysokości 100% dla osoby niepełnosprawnej i jej przewodnika, poprzez różnej wysokości ulgi przy zakupie biletu, aż po przywileje wyłącznie dla mieszkańców dane</w:t>
      </w:r>
      <w:r>
        <w:rPr>
          <w:rFonts w:ascii="Palatino Linotype" w:hAnsi="Palatino Linotype"/>
          <w:sz w:val="22"/>
          <w:szCs w:val="22"/>
        </w:rPr>
        <w:t xml:space="preserve">j miejscowości. Różnie też może </w:t>
      </w:r>
      <w:r w:rsidRPr="00202F14">
        <w:rPr>
          <w:rFonts w:ascii="Palatino Linotype" w:hAnsi="Palatino Linotype"/>
          <w:sz w:val="22"/>
          <w:szCs w:val="22"/>
        </w:rPr>
        <w:t>wyglądać kwestia dokumentów: w niektórych miastach honorowana jest legitymacja PZN, w innych wyłącznie legitymacja osoby niepełnosprawnej itp.</w:t>
      </w:r>
    </w:p>
    <w:p w:rsidR="0066170A" w:rsidRDefault="0066170A" w:rsidP="008C7215">
      <w:pPr>
        <w:pStyle w:val="NormalWeb"/>
        <w:spacing w:before="0" w:beforeAutospacing="0" w:after="0" w:afterAutospacing="0"/>
        <w:ind w:firstLine="360"/>
        <w:jc w:val="both"/>
        <w:rPr>
          <w:rFonts w:ascii="Palatino Linotype" w:hAnsi="Palatino Linotype"/>
          <w:b/>
          <w:sz w:val="22"/>
          <w:szCs w:val="22"/>
        </w:rPr>
      </w:pPr>
    </w:p>
    <w:p w:rsidR="0066170A" w:rsidRPr="00CB1E2B" w:rsidRDefault="0066170A" w:rsidP="008C7215">
      <w:pPr>
        <w:pStyle w:val="Heading2"/>
        <w:spacing w:before="0" w:beforeAutospacing="0" w:after="0" w:afterAutospacing="0"/>
        <w:ind w:firstLine="360"/>
        <w:jc w:val="both"/>
        <w:rPr>
          <w:rFonts w:ascii="Palatino Linotype" w:hAnsi="Palatino Linotype"/>
          <w:sz w:val="22"/>
          <w:szCs w:val="22"/>
          <w:u w:val="single"/>
        </w:rPr>
      </w:pPr>
      <w:r w:rsidRPr="00CB1E2B">
        <w:rPr>
          <w:rFonts w:ascii="Palatino Linotype" w:hAnsi="Palatino Linotype"/>
          <w:sz w:val="22"/>
          <w:szCs w:val="22"/>
          <w:u w:val="single"/>
        </w:rPr>
        <w:t>Przepisy miejskie</w:t>
      </w:r>
    </w:p>
    <w:p w:rsidR="0066170A" w:rsidRDefault="0066170A" w:rsidP="008C7215">
      <w:pPr>
        <w:pStyle w:val="Heading2"/>
        <w:spacing w:before="0" w:beforeAutospacing="0" w:after="0" w:afterAutospacing="0"/>
        <w:ind w:firstLine="360"/>
        <w:jc w:val="both"/>
        <w:rPr>
          <w:rFonts w:ascii="Palatino Linotype" w:hAnsi="Palatino Linotype"/>
          <w:sz w:val="22"/>
          <w:szCs w:val="22"/>
        </w:rPr>
      </w:pPr>
    </w:p>
    <w:p w:rsidR="0066170A" w:rsidRPr="008C7215" w:rsidRDefault="0066170A" w:rsidP="008C7215">
      <w:pPr>
        <w:pStyle w:val="Heading2"/>
        <w:spacing w:before="0" w:beforeAutospacing="0" w:after="0" w:afterAutospacing="0"/>
        <w:ind w:firstLine="360"/>
        <w:jc w:val="both"/>
        <w:rPr>
          <w:rFonts w:ascii="Palatino Linotype" w:hAnsi="Palatino Linotype"/>
          <w:b w:val="0"/>
          <w:sz w:val="22"/>
          <w:szCs w:val="22"/>
        </w:rPr>
      </w:pPr>
      <w:r w:rsidRPr="008C7215">
        <w:rPr>
          <w:rFonts w:ascii="Palatino Linotype" w:hAnsi="Palatino Linotype"/>
          <w:sz w:val="22"/>
          <w:szCs w:val="22"/>
        </w:rPr>
        <w:t xml:space="preserve">Zgodnie z </w:t>
      </w:r>
      <w:hyperlink r:id="rId5" w:history="1">
        <w:r w:rsidRPr="008C7215">
          <w:rPr>
            <w:rFonts w:ascii="Palatino Linotype" w:hAnsi="Palatino Linotype"/>
            <w:sz w:val="22"/>
            <w:szCs w:val="22"/>
          </w:rPr>
          <w:t>Uchwałą Nr XLVI/887/2013</w:t>
        </w:r>
      </w:hyperlink>
      <w:r w:rsidRPr="008C7215">
        <w:rPr>
          <w:rFonts w:ascii="Palatino Linotype" w:hAnsi="Palatino Linotype"/>
          <w:sz w:val="22"/>
          <w:szCs w:val="22"/>
        </w:rPr>
        <w:t xml:space="preserve"> Rady Miasta Rzeszowa z dnia 29 stycznia 2013 r. w sprawie ustanowienia ulg w opłatach za usługi przewozowe w publicznym transporcie zbiorowym w zakresie zadania o charakterze użyteczności publicznej na terenie Gminy Miasta Rzeszów</w:t>
      </w:r>
      <w:r w:rsidRPr="008C7215">
        <w:rPr>
          <w:rFonts w:ascii="Palatino Linotype" w:hAnsi="Palatino Linotype"/>
          <w:b w:val="0"/>
          <w:sz w:val="22"/>
          <w:szCs w:val="22"/>
        </w:rPr>
        <w:t xml:space="preserve"> do korzystania z bezpłatnych usług przewozowych w publicznym transporcie zbiorowym środkami miejskiej komunikacji zbiorowej uprawnione są osoby całkowicie niezdolne do pracy i niezdolne do samodzielnej egzystencji lub o znacznym stopniu niepełnosprawności – na podstawie orzeczenia wydanego przez Zakład Ubezpieczeń Społecznych lub inny upoważniony podmiot. Do bezpłatnego przejazdu uprawniony jest opiekun towarzyszący w podróży</w:t>
      </w:r>
      <w:r>
        <w:rPr>
          <w:rFonts w:ascii="Palatino Linotype" w:hAnsi="Palatino Linotype"/>
          <w:b w:val="0"/>
          <w:sz w:val="22"/>
          <w:szCs w:val="22"/>
        </w:rPr>
        <w:t xml:space="preserve">, </w:t>
      </w:r>
      <w:r w:rsidRPr="008C7215">
        <w:rPr>
          <w:rFonts w:ascii="Palatino Linotype" w:hAnsi="Palatino Linotype"/>
          <w:b w:val="0"/>
          <w:sz w:val="22"/>
          <w:szCs w:val="22"/>
        </w:rPr>
        <w:t>wskazany przez te osoby. Na wniosek podróżnego wraz z załączonym do niego orzeczeniem ZTM może wystawić stosowną legitymację.</w:t>
      </w:r>
    </w:p>
    <w:p w:rsidR="0066170A" w:rsidRDefault="0066170A" w:rsidP="008C7215">
      <w:pPr>
        <w:pStyle w:val="NormalWeb"/>
        <w:spacing w:before="0" w:beforeAutospacing="0" w:after="0" w:afterAutospacing="0"/>
        <w:jc w:val="both"/>
        <w:rPr>
          <w:rFonts w:ascii="Palatino Linotype" w:hAnsi="Palatino Linotype"/>
          <w:sz w:val="22"/>
          <w:szCs w:val="22"/>
        </w:rPr>
      </w:pPr>
    </w:p>
    <w:p w:rsidR="0066170A" w:rsidRPr="00CB1E2B" w:rsidRDefault="0066170A" w:rsidP="00372A00">
      <w:pPr>
        <w:pStyle w:val="Default"/>
        <w:ind w:firstLine="360"/>
        <w:jc w:val="both"/>
        <w:rPr>
          <w:rFonts w:ascii="Palatino Linotype" w:hAnsi="Palatino Linotype"/>
          <w:b/>
          <w:sz w:val="22"/>
          <w:szCs w:val="22"/>
          <w:u w:val="single"/>
        </w:rPr>
      </w:pPr>
      <w:r w:rsidRPr="00CB1E2B">
        <w:rPr>
          <w:rFonts w:ascii="Palatino Linotype" w:hAnsi="Palatino Linotype"/>
          <w:b/>
          <w:sz w:val="22"/>
          <w:szCs w:val="22"/>
          <w:u w:val="single"/>
        </w:rPr>
        <w:t>ZUS</w:t>
      </w:r>
    </w:p>
    <w:p w:rsidR="0066170A" w:rsidRDefault="0066170A" w:rsidP="00372A00">
      <w:pPr>
        <w:pStyle w:val="Default"/>
        <w:ind w:firstLine="360"/>
        <w:jc w:val="both"/>
        <w:rPr>
          <w:rFonts w:ascii="Palatino Linotype" w:hAnsi="Palatino Linotype"/>
          <w:b/>
          <w:sz w:val="22"/>
          <w:szCs w:val="22"/>
        </w:rPr>
      </w:pPr>
    </w:p>
    <w:p w:rsidR="0066170A" w:rsidRPr="00AB0CED" w:rsidRDefault="0066170A" w:rsidP="00372A00">
      <w:pPr>
        <w:pStyle w:val="Default"/>
        <w:ind w:firstLine="360"/>
        <w:jc w:val="both"/>
        <w:rPr>
          <w:rFonts w:ascii="Palatino Linotype" w:hAnsi="Palatino Linotype"/>
          <w:b/>
          <w:sz w:val="22"/>
          <w:szCs w:val="22"/>
        </w:rPr>
      </w:pPr>
      <w:r w:rsidRPr="00AB0CED">
        <w:rPr>
          <w:rFonts w:ascii="Palatino Linotype" w:hAnsi="Palatino Linotype"/>
          <w:b/>
          <w:sz w:val="22"/>
          <w:szCs w:val="22"/>
        </w:rPr>
        <w:t xml:space="preserve">Zgodnie z ustawą z dnia 27 sierpnia 1997 r. o rehabilitacji zawodowej i społecznej oraz zatrudnianiu osób niepełnosprawnych istnieją </w:t>
      </w:r>
      <w:r w:rsidRPr="00AB0CED">
        <w:rPr>
          <w:rFonts w:ascii="Palatino Linotype" w:hAnsi="Palatino Linotype"/>
          <w:b/>
          <w:sz w:val="22"/>
          <w:szCs w:val="22"/>
          <w:u w:val="single"/>
        </w:rPr>
        <w:t>trzy stopnie niepełnosprawności</w:t>
      </w:r>
      <w:r w:rsidRPr="00AB0CED">
        <w:rPr>
          <w:rFonts w:ascii="Palatino Linotype" w:hAnsi="Palatino Linotype"/>
          <w:b/>
          <w:sz w:val="22"/>
          <w:szCs w:val="22"/>
        </w:rPr>
        <w:t>:</w:t>
      </w:r>
    </w:p>
    <w:p w:rsidR="0066170A" w:rsidRPr="00AB0CED" w:rsidRDefault="0066170A" w:rsidP="00372A00">
      <w:pPr>
        <w:pStyle w:val="Default"/>
        <w:jc w:val="both"/>
        <w:rPr>
          <w:rFonts w:ascii="Palatino Linotype" w:hAnsi="Palatino Linotype"/>
          <w:sz w:val="22"/>
          <w:szCs w:val="22"/>
        </w:rPr>
      </w:pPr>
    </w:p>
    <w:p w:rsidR="0066170A" w:rsidRPr="00AB0CED" w:rsidRDefault="0066170A" w:rsidP="00372A00">
      <w:pPr>
        <w:pStyle w:val="Default"/>
        <w:numPr>
          <w:ilvl w:val="0"/>
          <w:numId w:val="2"/>
        </w:numPr>
        <w:jc w:val="both"/>
        <w:rPr>
          <w:rFonts w:ascii="Palatino Linotype" w:hAnsi="Palatino Linotype"/>
          <w:sz w:val="22"/>
          <w:szCs w:val="22"/>
        </w:rPr>
      </w:pPr>
      <w:r w:rsidRPr="00AB0CED">
        <w:rPr>
          <w:rFonts w:ascii="Palatino Linotype" w:hAnsi="Palatino Linotype"/>
          <w:b/>
          <w:sz w:val="22"/>
          <w:szCs w:val="22"/>
          <w:u w:val="single"/>
        </w:rPr>
        <w:t>znaczny</w:t>
      </w:r>
      <w:r w:rsidRPr="00AB0CED">
        <w:rPr>
          <w:rFonts w:ascii="Palatino Linotype" w:hAnsi="Palatino Linotype"/>
          <w:sz w:val="22"/>
          <w:szCs w:val="22"/>
        </w:rPr>
        <w:t xml:space="preserve">, do którego zalicza się osoby z naruszoną sprawnością organizmu, niezdolne do pracy albo zdolne do pracy jedynie w warunkach pracy chronionej i wymagające, w celu pełnienia ról społecznych, stałej lub długotrwałej opieki i pomocy innych osób w związku z niezdolnością do samodzielnej egzystencji. </w:t>
      </w:r>
    </w:p>
    <w:p w:rsidR="0066170A" w:rsidRPr="00AB0CED" w:rsidRDefault="0066170A" w:rsidP="00372A00">
      <w:pPr>
        <w:pStyle w:val="Default"/>
        <w:numPr>
          <w:ilvl w:val="0"/>
          <w:numId w:val="2"/>
        </w:numPr>
        <w:jc w:val="both"/>
        <w:rPr>
          <w:rFonts w:ascii="Palatino Linotype" w:hAnsi="Palatino Linotype"/>
          <w:sz w:val="22"/>
          <w:szCs w:val="22"/>
        </w:rPr>
      </w:pPr>
      <w:r w:rsidRPr="00AB0CED">
        <w:rPr>
          <w:rFonts w:ascii="Palatino Linotype" w:hAnsi="Palatino Linotype"/>
          <w:b/>
          <w:sz w:val="22"/>
          <w:szCs w:val="22"/>
          <w:u w:val="single"/>
        </w:rPr>
        <w:t>umiarkowany</w:t>
      </w:r>
      <w:r w:rsidRPr="00AB0CED">
        <w:rPr>
          <w:rFonts w:ascii="Palatino Linotype" w:hAnsi="Palatino Linotype"/>
          <w:sz w:val="22"/>
          <w:szCs w:val="22"/>
        </w:rPr>
        <w:t xml:space="preserve">, do którego zalicza się osoby z naruszoną sprawnością organizmu, niezdolne do pracy albo zdolne do pracy jedynie w warunkach pracy chronionej lub wymagające czasowej albo częściowej pomocy innych osób w celu pełnienia ról społecznych. </w:t>
      </w:r>
    </w:p>
    <w:p w:rsidR="0066170A" w:rsidRPr="00AB0CED" w:rsidRDefault="0066170A" w:rsidP="00372A00">
      <w:pPr>
        <w:pStyle w:val="Default"/>
        <w:numPr>
          <w:ilvl w:val="0"/>
          <w:numId w:val="2"/>
        </w:numPr>
        <w:jc w:val="both"/>
        <w:rPr>
          <w:rFonts w:ascii="Palatino Linotype" w:hAnsi="Palatino Linotype"/>
          <w:sz w:val="22"/>
          <w:szCs w:val="22"/>
        </w:rPr>
      </w:pPr>
      <w:r w:rsidRPr="00AB0CED">
        <w:rPr>
          <w:rFonts w:ascii="Palatino Linotype" w:hAnsi="Palatino Linotype"/>
          <w:b/>
          <w:sz w:val="22"/>
          <w:szCs w:val="22"/>
          <w:u w:val="single"/>
        </w:rPr>
        <w:t>lekki</w:t>
      </w:r>
      <w:r w:rsidRPr="00AB0CED">
        <w:rPr>
          <w:rFonts w:ascii="Palatino Linotype" w:hAnsi="Palatino Linotype"/>
          <w:sz w:val="22"/>
          <w:szCs w:val="22"/>
        </w:rPr>
        <w:t xml:space="preserve">, do którego zalicza się osoby o naruszonej sprawności organizmu, powodującej w sposób istotny obniżenie zdolności do wykonywania pracy, w porównaniu do zdolności, jaką wykazują osoby o podobnych kwalifikacjach zawodowych z pełną sprawnością psychiczną i fizyczną, lub mające ograniczenia w pełnieniu ról społecznych dające się kompensować przy pomocy wyposażenia w przedmioty ortopedyczne, środki pomocnicze lub środki techniczne. </w:t>
      </w:r>
    </w:p>
    <w:p w:rsidR="0066170A" w:rsidRPr="00AB0CED" w:rsidRDefault="0066170A" w:rsidP="00372A00"/>
    <w:p w:rsidR="0066170A" w:rsidRPr="00AB0CED" w:rsidRDefault="0066170A" w:rsidP="00372A00">
      <w:pPr>
        <w:pStyle w:val="NormalWeb"/>
        <w:spacing w:before="0" w:beforeAutospacing="0" w:after="0" w:afterAutospacing="0"/>
        <w:ind w:firstLine="360"/>
        <w:jc w:val="both"/>
        <w:rPr>
          <w:rFonts w:ascii="Palatino Linotype" w:hAnsi="Palatino Linotype"/>
          <w:b/>
          <w:sz w:val="22"/>
          <w:szCs w:val="22"/>
        </w:rPr>
      </w:pPr>
      <w:r w:rsidRPr="00AB0CED">
        <w:rPr>
          <w:rFonts w:ascii="Palatino Linotype" w:hAnsi="Palatino Linotype"/>
          <w:b/>
          <w:sz w:val="22"/>
          <w:szCs w:val="22"/>
        </w:rPr>
        <w:t>Podział osób z niepełnosprawnością wzrokową ze względu na stopnie niepełnosprawności wygląda następująco:</w:t>
      </w:r>
    </w:p>
    <w:p w:rsidR="0066170A" w:rsidRDefault="0066170A" w:rsidP="00372A00">
      <w:pPr>
        <w:pStyle w:val="NormalWeb"/>
        <w:spacing w:before="0" w:beforeAutospacing="0" w:after="0" w:afterAutospacing="0"/>
        <w:ind w:firstLine="360"/>
        <w:jc w:val="both"/>
        <w:rPr>
          <w:rFonts w:ascii="Palatino Linotype" w:hAnsi="Palatino Linotype"/>
          <w:sz w:val="22"/>
          <w:szCs w:val="22"/>
        </w:rPr>
      </w:pPr>
    </w:p>
    <w:p w:rsidR="0066170A" w:rsidRDefault="0066170A" w:rsidP="00372A00">
      <w:pPr>
        <w:pStyle w:val="NormalWeb"/>
        <w:numPr>
          <w:ilvl w:val="0"/>
          <w:numId w:val="3"/>
        </w:numPr>
        <w:spacing w:before="0" w:beforeAutospacing="0" w:after="0" w:afterAutospacing="0"/>
        <w:jc w:val="both"/>
        <w:rPr>
          <w:rFonts w:ascii="Palatino Linotype" w:hAnsi="Palatino Linotype"/>
          <w:sz w:val="22"/>
          <w:szCs w:val="22"/>
        </w:rPr>
      </w:pPr>
      <w:r w:rsidRPr="00AB0CED">
        <w:rPr>
          <w:rStyle w:val="Strong"/>
          <w:rFonts w:ascii="Palatino Linotype" w:hAnsi="Palatino Linotype"/>
          <w:sz w:val="22"/>
          <w:szCs w:val="22"/>
        </w:rPr>
        <w:t>stopień  lekki:</w:t>
      </w:r>
      <w:r w:rsidRPr="00AB0CED">
        <w:rPr>
          <w:rFonts w:ascii="Palatino Linotype" w:hAnsi="Palatino Linotype"/>
          <w:sz w:val="22"/>
          <w:szCs w:val="22"/>
        </w:rPr>
        <w:t xml:space="preserve"> osoby, u których ostrość wzroku w lepszym </w:t>
      </w:r>
      <w:r>
        <w:rPr>
          <w:rFonts w:ascii="Palatino Linotype" w:hAnsi="Palatino Linotype"/>
          <w:sz w:val="22"/>
          <w:szCs w:val="22"/>
        </w:rPr>
        <w:t>oku i po korekcji wynosi więcej niż 0,1 i nie więcej niż 0,3,</w:t>
      </w:r>
    </w:p>
    <w:p w:rsidR="0066170A" w:rsidRDefault="0066170A" w:rsidP="00372A00">
      <w:pPr>
        <w:pStyle w:val="NormalWeb"/>
        <w:numPr>
          <w:ilvl w:val="0"/>
          <w:numId w:val="3"/>
        </w:numPr>
        <w:spacing w:before="0" w:beforeAutospacing="0" w:after="0" w:afterAutospacing="0"/>
        <w:jc w:val="both"/>
        <w:rPr>
          <w:rFonts w:ascii="Palatino Linotype" w:hAnsi="Palatino Linotype"/>
          <w:sz w:val="22"/>
          <w:szCs w:val="22"/>
        </w:rPr>
      </w:pPr>
      <w:r w:rsidRPr="00AB0CED">
        <w:rPr>
          <w:rStyle w:val="Strong"/>
          <w:rFonts w:ascii="Palatino Linotype" w:hAnsi="Palatino Linotype"/>
          <w:sz w:val="22"/>
          <w:szCs w:val="22"/>
        </w:rPr>
        <w:t>stopień umiarkowany:</w:t>
      </w:r>
      <w:r w:rsidRPr="00AB0CED">
        <w:rPr>
          <w:rFonts w:ascii="Palatino Linotype" w:hAnsi="Palatino Linotype"/>
          <w:sz w:val="22"/>
          <w:szCs w:val="22"/>
        </w:rPr>
        <w:t xml:space="preserve"> osoby z ostrością wzroku od 0,06 do 0,1 lub polem widze</w:t>
      </w:r>
      <w:r>
        <w:rPr>
          <w:rFonts w:ascii="Palatino Linotype" w:hAnsi="Palatino Linotype"/>
          <w:sz w:val="22"/>
          <w:szCs w:val="22"/>
        </w:rPr>
        <w:t>nia ograniczonym do 30 stopni,</w:t>
      </w:r>
    </w:p>
    <w:p w:rsidR="0066170A" w:rsidRDefault="0066170A" w:rsidP="00372A00">
      <w:pPr>
        <w:pStyle w:val="NormalWeb"/>
        <w:numPr>
          <w:ilvl w:val="0"/>
          <w:numId w:val="3"/>
        </w:numPr>
        <w:spacing w:before="0" w:beforeAutospacing="0" w:after="0" w:afterAutospacing="0"/>
        <w:jc w:val="both"/>
        <w:rPr>
          <w:rFonts w:ascii="Palatino Linotype" w:hAnsi="Palatino Linotype"/>
          <w:sz w:val="22"/>
          <w:szCs w:val="22"/>
        </w:rPr>
      </w:pPr>
      <w:r w:rsidRPr="00AB0CED">
        <w:rPr>
          <w:rStyle w:val="Strong"/>
          <w:rFonts w:ascii="Palatino Linotype" w:hAnsi="Palatino Linotype"/>
          <w:sz w:val="22"/>
          <w:szCs w:val="22"/>
        </w:rPr>
        <w:t>stopień znaczny:</w:t>
      </w:r>
    </w:p>
    <w:p w:rsidR="0066170A" w:rsidRDefault="0066170A" w:rsidP="00372A00">
      <w:pPr>
        <w:pStyle w:val="NormalWeb"/>
        <w:numPr>
          <w:ilvl w:val="0"/>
          <w:numId w:val="4"/>
        </w:numPr>
        <w:spacing w:before="0" w:beforeAutospacing="0" w:after="0" w:afterAutospacing="0"/>
        <w:jc w:val="both"/>
        <w:rPr>
          <w:rFonts w:ascii="Palatino Linotype" w:hAnsi="Palatino Linotype"/>
          <w:sz w:val="22"/>
          <w:szCs w:val="22"/>
        </w:rPr>
      </w:pPr>
      <w:r w:rsidRPr="00AB0CED">
        <w:rPr>
          <w:rFonts w:ascii="Palatino Linotype" w:hAnsi="Palatino Linotype"/>
          <w:sz w:val="22"/>
          <w:szCs w:val="22"/>
        </w:rPr>
        <w:t>osoby całkowicie nie</w:t>
      </w:r>
      <w:r>
        <w:rPr>
          <w:rFonts w:ascii="Palatino Linotype" w:hAnsi="Palatino Linotype"/>
          <w:sz w:val="22"/>
          <w:szCs w:val="22"/>
        </w:rPr>
        <w:t>widome (bez poczucia światła),</w:t>
      </w:r>
    </w:p>
    <w:p w:rsidR="0066170A" w:rsidRDefault="0066170A" w:rsidP="00372A00">
      <w:pPr>
        <w:pStyle w:val="NormalWeb"/>
        <w:numPr>
          <w:ilvl w:val="0"/>
          <w:numId w:val="4"/>
        </w:numPr>
        <w:spacing w:before="0" w:beforeAutospacing="0" w:after="0" w:afterAutospacing="0"/>
        <w:jc w:val="both"/>
        <w:rPr>
          <w:rFonts w:ascii="Palatino Linotype" w:hAnsi="Palatino Linotype"/>
          <w:sz w:val="22"/>
          <w:szCs w:val="22"/>
        </w:rPr>
      </w:pPr>
      <w:r w:rsidRPr="00AB0CED">
        <w:rPr>
          <w:rFonts w:ascii="Palatino Linotype" w:hAnsi="Palatino Linotype"/>
          <w:sz w:val="22"/>
          <w:szCs w:val="22"/>
        </w:rPr>
        <w:t>osoby z ostrością wzroku do 0,05</w:t>
      </w:r>
      <w:r>
        <w:rPr>
          <w:rFonts w:ascii="Palatino Linotype" w:hAnsi="Palatino Linotype"/>
          <w:sz w:val="22"/>
          <w:szCs w:val="22"/>
        </w:rPr>
        <w:t>,</w:t>
      </w:r>
    </w:p>
    <w:p w:rsidR="0066170A" w:rsidRDefault="0066170A" w:rsidP="00372A00">
      <w:pPr>
        <w:pStyle w:val="NormalWeb"/>
        <w:numPr>
          <w:ilvl w:val="0"/>
          <w:numId w:val="4"/>
        </w:numPr>
        <w:spacing w:before="0" w:beforeAutospacing="0" w:after="0" w:afterAutospacing="0"/>
        <w:jc w:val="both"/>
        <w:rPr>
          <w:rFonts w:ascii="Palatino Linotype" w:hAnsi="Palatino Linotype"/>
          <w:sz w:val="22"/>
          <w:szCs w:val="22"/>
        </w:rPr>
      </w:pPr>
      <w:r w:rsidRPr="00AB0CED">
        <w:rPr>
          <w:rFonts w:ascii="Palatino Linotype" w:hAnsi="Palatino Linotype"/>
          <w:sz w:val="22"/>
          <w:szCs w:val="22"/>
        </w:rPr>
        <w:t>osoby z polem widzenia poniżej 20 stopni</w:t>
      </w:r>
      <w:r>
        <w:rPr>
          <w:rFonts w:ascii="Palatino Linotype" w:hAnsi="Palatino Linotype"/>
          <w:sz w:val="22"/>
          <w:szCs w:val="22"/>
        </w:rPr>
        <w:t>.</w:t>
      </w:r>
    </w:p>
    <w:p w:rsidR="0066170A" w:rsidRPr="00AB0CED" w:rsidRDefault="0066170A" w:rsidP="00372A00">
      <w:pPr>
        <w:pStyle w:val="NormalWeb"/>
        <w:spacing w:before="0" w:beforeAutospacing="0" w:after="0" w:afterAutospacing="0"/>
        <w:ind w:left="1068"/>
        <w:jc w:val="both"/>
        <w:rPr>
          <w:rFonts w:ascii="Palatino Linotype" w:hAnsi="Palatino Linotype"/>
          <w:sz w:val="22"/>
          <w:szCs w:val="22"/>
        </w:rPr>
      </w:pPr>
    </w:p>
    <w:p w:rsidR="0066170A" w:rsidRPr="00AB0CED" w:rsidRDefault="0066170A" w:rsidP="00372A00">
      <w:pPr>
        <w:pStyle w:val="NormalWeb"/>
        <w:spacing w:before="0" w:beforeAutospacing="0" w:after="0" w:afterAutospacing="0"/>
        <w:ind w:firstLine="708"/>
        <w:jc w:val="both"/>
        <w:rPr>
          <w:rFonts w:ascii="Palatino Linotype" w:hAnsi="Palatino Linotype"/>
          <w:sz w:val="22"/>
          <w:szCs w:val="22"/>
        </w:rPr>
      </w:pPr>
      <w:r w:rsidRPr="00AB0CED">
        <w:rPr>
          <w:rFonts w:ascii="Palatino Linotype" w:hAnsi="Palatino Linotype"/>
          <w:sz w:val="22"/>
          <w:szCs w:val="22"/>
        </w:rPr>
        <w:t>Z punktu widzenia orzekania o niepełnosprawności za </w:t>
      </w:r>
      <w:r w:rsidRPr="00AB0CED">
        <w:rPr>
          <w:rFonts w:ascii="Palatino Linotype" w:hAnsi="Palatino Linotype"/>
          <w:sz w:val="22"/>
          <w:szCs w:val="22"/>
          <w:u w:val="single"/>
        </w:rPr>
        <w:t>osoby niewidome</w:t>
      </w:r>
      <w:r w:rsidRPr="00AB0CED">
        <w:rPr>
          <w:rFonts w:ascii="Palatino Linotype" w:hAnsi="Palatino Linotype"/>
          <w:sz w:val="22"/>
          <w:szCs w:val="22"/>
        </w:rPr>
        <w:t xml:space="preserve"> uznaje się osoby, u których orzeczono </w:t>
      </w:r>
      <w:r w:rsidRPr="00AB0CED">
        <w:rPr>
          <w:rFonts w:ascii="Palatino Linotype" w:hAnsi="Palatino Linotype"/>
          <w:sz w:val="22"/>
          <w:szCs w:val="22"/>
          <w:u w:val="single"/>
        </w:rPr>
        <w:t>znaczny</w:t>
      </w:r>
      <w:r w:rsidRPr="00AB0CED">
        <w:rPr>
          <w:rFonts w:ascii="Palatino Linotype" w:hAnsi="Palatino Linotype"/>
          <w:sz w:val="22"/>
          <w:szCs w:val="22"/>
        </w:rPr>
        <w:t xml:space="preserve"> stopień niepełnosprawności. Pozostałe osoby to słabowidzący („niedowidzący”). W przypadku osób poniżej 16 roku życia nie orzeka się żadnego stopnia niepełnosprawności, ale po prostu niepełnosprawność.</w:t>
      </w:r>
    </w:p>
    <w:p w:rsidR="0066170A" w:rsidRDefault="0066170A" w:rsidP="008C7215">
      <w:pPr>
        <w:pStyle w:val="NormalWeb"/>
        <w:spacing w:before="0" w:beforeAutospacing="0" w:after="0" w:afterAutospacing="0"/>
        <w:jc w:val="both"/>
        <w:rPr>
          <w:rFonts w:ascii="Palatino Linotype" w:hAnsi="Palatino Linotype"/>
          <w:sz w:val="22"/>
          <w:szCs w:val="22"/>
        </w:rPr>
      </w:pPr>
    </w:p>
    <w:p w:rsidR="0066170A" w:rsidRPr="0079090C" w:rsidRDefault="0066170A" w:rsidP="008C7215">
      <w:pPr>
        <w:pStyle w:val="NormalWeb"/>
        <w:spacing w:before="0" w:beforeAutospacing="0" w:after="0" w:afterAutospacing="0"/>
        <w:jc w:val="both"/>
        <w:rPr>
          <w:rFonts w:ascii="Palatino Linotype" w:hAnsi="Palatino Linotype"/>
          <w:b/>
          <w:sz w:val="22"/>
          <w:szCs w:val="22"/>
          <w:u w:val="single"/>
        </w:rPr>
      </w:pPr>
      <w:r w:rsidRPr="0079090C">
        <w:rPr>
          <w:rFonts w:ascii="Palatino Linotype" w:hAnsi="Palatino Linotype"/>
          <w:b/>
          <w:sz w:val="22"/>
          <w:szCs w:val="22"/>
          <w:u w:val="single"/>
        </w:rPr>
        <w:t>Podsumowanie</w:t>
      </w:r>
    </w:p>
    <w:p w:rsidR="0066170A" w:rsidRDefault="0066170A" w:rsidP="008C7215">
      <w:pPr>
        <w:pStyle w:val="NormalWeb"/>
        <w:spacing w:before="0" w:beforeAutospacing="0" w:after="0" w:afterAutospacing="0"/>
        <w:jc w:val="both"/>
        <w:rPr>
          <w:rFonts w:ascii="Palatino Linotype" w:hAnsi="Palatino Linotype"/>
          <w:sz w:val="22"/>
          <w:szCs w:val="22"/>
        </w:rPr>
      </w:pPr>
    </w:p>
    <w:p w:rsidR="0066170A" w:rsidRDefault="0066170A" w:rsidP="00475A62">
      <w:pPr>
        <w:ind w:firstLine="360"/>
      </w:pPr>
      <w:r>
        <w:t xml:space="preserve">Jak wynika z powyższego, </w:t>
      </w:r>
      <w:r w:rsidRPr="00372A00">
        <w:rPr>
          <w:b/>
        </w:rPr>
        <w:t>obecni</w:t>
      </w:r>
      <w:r>
        <w:rPr>
          <w:b/>
        </w:rPr>
        <w:t>e obowiązująca w Rzeszowie regulacja</w:t>
      </w:r>
      <w:r>
        <w:t xml:space="preserve"> </w:t>
      </w:r>
      <w:r w:rsidRPr="00372A00">
        <w:rPr>
          <w:b/>
        </w:rPr>
        <w:t xml:space="preserve">przyznaje ulgi osobom ze </w:t>
      </w:r>
      <w:r w:rsidRPr="00372A00">
        <w:rPr>
          <w:b/>
          <w:u w:val="single"/>
        </w:rPr>
        <w:t>znaczną</w:t>
      </w:r>
      <w:r w:rsidRPr="00372A00">
        <w:rPr>
          <w:b/>
        </w:rPr>
        <w:t xml:space="preserve"> niepełnosprawnością wzrokową,</w:t>
      </w:r>
      <w:r>
        <w:t xml:space="preserve"> nie uwzględniając jednocześnie osób z lekką i umiarkowaną niepełnosprawnością wzrokową.</w:t>
      </w:r>
    </w:p>
    <w:p w:rsidR="0066170A" w:rsidRPr="00372A00" w:rsidRDefault="0066170A" w:rsidP="00475A62">
      <w:pPr>
        <w:ind w:firstLine="360"/>
        <w:rPr>
          <w:b/>
        </w:rPr>
      </w:pPr>
      <w:r>
        <w:t xml:space="preserve">Z kolei Polski Związek Niewidomych wydaje legitymacje dla osób, które posiadają orzeczenie ze stopniem znacznym lub umiarkowanym, stąd też </w:t>
      </w:r>
      <w:r w:rsidRPr="00372A00">
        <w:rPr>
          <w:b/>
        </w:rPr>
        <w:t>regulacja obowiązująca poprzednio</w:t>
      </w:r>
      <w:r>
        <w:t xml:space="preserve">, a przyznająca ulgi na podstawie stosownego orzeczenia lub okazanej legitymacji Polskiego Związku Niewidomych, w sposób pośredni </w:t>
      </w:r>
      <w:r w:rsidRPr="00372A00">
        <w:rPr>
          <w:b/>
        </w:rPr>
        <w:t xml:space="preserve">przyznawała ulgi osobom </w:t>
      </w:r>
      <w:r w:rsidRPr="00372A00">
        <w:rPr>
          <w:b/>
          <w:u w:val="single"/>
        </w:rPr>
        <w:t>ze znaczną lub umiarkowaną</w:t>
      </w:r>
      <w:r w:rsidRPr="00372A00">
        <w:rPr>
          <w:b/>
        </w:rPr>
        <w:t xml:space="preserve"> niepełnosprawnością wzrokową.</w:t>
      </w:r>
      <w:r>
        <w:rPr>
          <w:b/>
        </w:rPr>
        <w:t xml:space="preserve"> </w:t>
      </w:r>
    </w:p>
    <w:p w:rsidR="0066170A" w:rsidRDefault="0066170A" w:rsidP="00475A62">
      <w:pPr>
        <w:ind w:firstLine="360"/>
      </w:pPr>
    </w:p>
    <w:p w:rsidR="0066170A" w:rsidRPr="00202F14" w:rsidRDefault="0066170A" w:rsidP="008C7215">
      <w:pPr>
        <w:pStyle w:val="NormalWeb"/>
        <w:spacing w:before="0" w:beforeAutospacing="0" w:after="0" w:afterAutospacing="0"/>
        <w:jc w:val="both"/>
        <w:rPr>
          <w:rFonts w:ascii="Palatino Linotype" w:hAnsi="Palatino Linotype"/>
          <w:sz w:val="22"/>
          <w:szCs w:val="22"/>
        </w:rPr>
      </w:pPr>
    </w:p>
    <w:sectPr w:rsidR="0066170A" w:rsidRPr="00202F14" w:rsidSect="00E61B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387" w:usb1="40000013" w:usb2="00000000" w:usb3="00000000" w:csb0="0000019F" w:csb1="00000000"/>
  </w:font>
  <w:font w:name="Calibri">
    <w:panose1 w:val="020F0502020204030204"/>
    <w:charset w:val="EE"/>
    <w:family w:val="swiss"/>
    <w:pitch w:val="variable"/>
    <w:sig w:usb0="A00002EF" w:usb1="4000207B" w:usb2="00000000" w:usb3="00000000" w:csb0="0000009F" w:csb1="00000000"/>
  </w:font>
  <w:font w:name="Calibri Light">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1211B"/>
    <w:multiLevelType w:val="hybridMultilevel"/>
    <w:tmpl w:val="60F8A0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3F137548"/>
    <w:multiLevelType w:val="hybridMultilevel"/>
    <w:tmpl w:val="ECC49F2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690F2C0D"/>
    <w:multiLevelType w:val="hybridMultilevel"/>
    <w:tmpl w:val="CEAAD888"/>
    <w:lvl w:ilvl="0" w:tplc="916EBBB6">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77C10956"/>
    <w:multiLevelType w:val="hybridMultilevel"/>
    <w:tmpl w:val="D8A4ABBE"/>
    <w:lvl w:ilvl="0" w:tplc="2E90A4B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398D"/>
    <w:rsid w:val="00202F14"/>
    <w:rsid w:val="002341CF"/>
    <w:rsid w:val="002B3442"/>
    <w:rsid w:val="00322253"/>
    <w:rsid w:val="00372A00"/>
    <w:rsid w:val="004475ED"/>
    <w:rsid w:val="00475A62"/>
    <w:rsid w:val="004B3F1B"/>
    <w:rsid w:val="00651709"/>
    <w:rsid w:val="0066170A"/>
    <w:rsid w:val="0079090C"/>
    <w:rsid w:val="008C7215"/>
    <w:rsid w:val="009B2261"/>
    <w:rsid w:val="00A938B8"/>
    <w:rsid w:val="00AB0CED"/>
    <w:rsid w:val="00B0706F"/>
    <w:rsid w:val="00B1398D"/>
    <w:rsid w:val="00B340E8"/>
    <w:rsid w:val="00B40490"/>
    <w:rsid w:val="00CB1E2B"/>
    <w:rsid w:val="00E61B7A"/>
    <w:rsid w:val="00EB02AD"/>
    <w:rsid w:val="00EC39E1"/>
    <w:rsid w:val="00F52DB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Calibri" w:hAnsi="Palatino Linotype"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B7A"/>
    <w:pPr>
      <w:jc w:val="both"/>
    </w:pPr>
    <w:rPr>
      <w:lang w:eastAsia="en-US"/>
    </w:rPr>
  </w:style>
  <w:style w:type="paragraph" w:styleId="Heading2">
    <w:name w:val="heading 2"/>
    <w:basedOn w:val="Normal"/>
    <w:link w:val="Heading2Char"/>
    <w:uiPriority w:val="99"/>
    <w:qFormat/>
    <w:rsid w:val="008C7215"/>
    <w:pPr>
      <w:spacing w:before="100" w:beforeAutospacing="1" w:after="100" w:afterAutospacing="1"/>
      <w:jc w:val="left"/>
      <w:outlineLvl w:val="1"/>
    </w:pPr>
    <w:rPr>
      <w:rFonts w:ascii="Times New Roman" w:eastAsia="Times New Roman" w:hAnsi="Times New Roman"/>
      <w:b/>
      <w:bCs/>
      <w:sz w:val="36"/>
      <w:szCs w:val="36"/>
      <w:lang w:eastAsia="pl-PL"/>
    </w:rPr>
  </w:style>
  <w:style w:type="paragraph" w:styleId="Heading4">
    <w:name w:val="heading 4"/>
    <w:basedOn w:val="Normal"/>
    <w:next w:val="Normal"/>
    <w:link w:val="Heading4Char"/>
    <w:uiPriority w:val="99"/>
    <w:qFormat/>
    <w:rsid w:val="00372A00"/>
    <w:pPr>
      <w:keepNext/>
      <w:keepLines/>
      <w:spacing w:before="40"/>
      <w:outlineLvl w:val="3"/>
    </w:pPr>
    <w:rPr>
      <w:rFonts w:ascii="Calibri Light" w:eastAsia="Times New Roman" w:hAnsi="Calibri Light"/>
      <w:i/>
      <w:iCs/>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C7215"/>
    <w:rPr>
      <w:rFonts w:ascii="Times New Roman" w:hAnsi="Times New Roman" w:cs="Times New Roman"/>
      <w:b/>
      <w:bCs/>
      <w:sz w:val="36"/>
      <w:szCs w:val="36"/>
      <w:lang w:eastAsia="pl-PL"/>
    </w:rPr>
  </w:style>
  <w:style w:type="character" w:customStyle="1" w:styleId="Heading4Char">
    <w:name w:val="Heading 4 Char"/>
    <w:basedOn w:val="DefaultParagraphFont"/>
    <w:link w:val="Heading4"/>
    <w:uiPriority w:val="99"/>
    <w:semiHidden/>
    <w:locked/>
    <w:rsid w:val="00372A00"/>
    <w:rPr>
      <w:rFonts w:ascii="Calibri Light" w:hAnsi="Calibri Light" w:cs="Times New Roman"/>
      <w:i/>
      <w:iCs/>
      <w:color w:val="2E74B5"/>
    </w:rPr>
  </w:style>
  <w:style w:type="paragraph" w:styleId="ListParagraph">
    <w:name w:val="List Paragraph"/>
    <w:basedOn w:val="Normal"/>
    <w:uiPriority w:val="99"/>
    <w:qFormat/>
    <w:rsid w:val="00EC39E1"/>
    <w:pPr>
      <w:ind w:left="720"/>
      <w:contextualSpacing/>
    </w:pPr>
  </w:style>
  <w:style w:type="paragraph" w:styleId="NormalWeb">
    <w:name w:val="Normal (Web)"/>
    <w:basedOn w:val="Normal"/>
    <w:uiPriority w:val="99"/>
    <w:rsid w:val="00202F14"/>
    <w:pPr>
      <w:spacing w:before="100" w:beforeAutospacing="1" w:after="100" w:afterAutospacing="1"/>
      <w:jc w:val="left"/>
    </w:pPr>
    <w:rPr>
      <w:rFonts w:ascii="Times New Roman" w:eastAsia="Times New Roman" w:hAnsi="Times New Roman"/>
      <w:sz w:val="24"/>
      <w:szCs w:val="24"/>
      <w:lang w:eastAsia="pl-PL"/>
    </w:rPr>
  </w:style>
  <w:style w:type="character" w:styleId="Hyperlink">
    <w:name w:val="Hyperlink"/>
    <w:basedOn w:val="DefaultParagraphFont"/>
    <w:uiPriority w:val="99"/>
    <w:semiHidden/>
    <w:rsid w:val="008C7215"/>
    <w:rPr>
      <w:rFonts w:cs="Times New Roman"/>
      <w:color w:val="0000FF"/>
      <w:u w:val="single"/>
    </w:rPr>
  </w:style>
  <w:style w:type="paragraph" w:customStyle="1" w:styleId="Default">
    <w:name w:val="Default"/>
    <w:uiPriority w:val="99"/>
    <w:rsid w:val="00372A00"/>
    <w:pPr>
      <w:autoSpaceDE w:val="0"/>
      <w:autoSpaceDN w:val="0"/>
      <w:adjustRightInd w:val="0"/>
    </w:pPr>
    <w:rPr>
      <w:rFonts w:ascii="Times New Roman" w:hAnsi="Times New Roman"/>
      <w:color w:val="000000"/>
      <w:sz w:val="24"/>
      <w:szCs w:val="24"/>
      <w:lang w:eastAsia="en-US"/>
    </w:rPr>
  </w:style>
  <w:style w:type="character" w:styleId="Strong">
    <w:name w:val="Strong"/>
    <w:basedOn w:val="DefaultParagraphFont"/>
    <w:uiPriority w:val="99"/>
    <w:qFormat/>
    <w:rsid w:val="00372A00"/>
    <w:rPr>
      <w:rFonts w:cs="Times New Roman"/>
      <w:b/>
      <w:bCs/>
    </w:rPr>
  </w:style>
</w:styles>
</file>

<file path=word/webSettings.xml><?xml version="1.0" encoding="utf-8"?>
<w:webSettings xmlns:r="http://schemas.openxmlformats.org/officeDocument/2006/relationships" xmlns:w="http://schemas.openxmlformats.org/wordprocessingml/2006/main">
  <w:divs>
    <w:div w:id="25756014">
      <w:marLeft w:val="0"/>
      <w:marRight w:val="0"/>
      <w:marTop w:val="0"/>
      <w:marBottom w:val="0"/>
      <w:divBdr>
        <w:top w:val="none" w:sz="0" w:space="0" w:color="auto"/>
        <w:left w:val="none" w:sz="0" w:space="0" w:color="auto"/>
        <w:bottom w:val="none" w:sz="0" w:space="0" w:color="auto"/>
        <w:right w:val="none" w:sz="0" w:space="0" w:color="auto"/>
      </w:divBdr>
    </w:div>
    <w:div w:id="25756015">
      <w:marLeft w:val="0"/>
      <w:marRight w:val="0"/>
      <w:marTop w:val="0"/>
      <w:marBottom w:val="0"/>
      <w:divBdr>
        <w:top w:val="none" w:sz="0" w:space="0" w:color="auto"/>
        <w:left w:val="none" w:sz="0" w:space="0" w:color="auto"/>
        <w:bottom w:val="none" w:sz="0" w:space="0" w:color="auto"/>
        <w:right w:val="none" w:sz="0" w:space="0" w:color="auto"/>
      </w:divBdr>
    </w:div>
    <w:div w:id="25756016">
      <w:marLeft w:val="0"/>
      <w:marRight w:val="0"/>
      <w:marTop w:val="0"/>
      <w:marBottom w:val="0"/>
      <w:divBdr>
        <w:top w:val="none" w:sz="0" w:space="0" w:color="auto"/>
        <w:left w:val="none" w:sz="0" w:space="0" w:color="auto"/>
        <w:bottom w:val="none" w:sz="0" w:space="0" w:color="auto"/>
        <w:right w:val="none" w:sz="0" w:space="0" w:color="auto"/>
      </w:divBdr>
    </w:div>
    <w:div w:id="25756019">
      <w:marLeft w:val="0"/>
      <w:marRight w:val="0"/>
      <w:marTop w:val="0"/>
      <w:marBottom w:val="0"/>
      <w:divBdr>
        <w:top w:val="none" w:sz="0" w:space="0" w:color="auto"/>
        <w:left w:val="none" w:sz="0" w:space="0" w:color="auto"/>
        <w:bottom w:val="none" w:sz="0" w:space="0" w:color="auto"/>
        <w:right w:val="none" w:sz="0" w:space="0" w:color="auto"/>
      </w:divBdr>
      <w:divsChild>
        <w:div w:id="25756017">
          <w:marLeft w:val="0"/>
          <w:marRight w:val="0"/>
          <w:marTop w:val="0"/>
          <w:marBottom w:val="0"/>
          <w:divBdr>
            <w:top w:val="none" w:sz="0" w:space="0" w:color="auto"/>
            <w:left w:val="none" w:sz="0" w:space="0" w:color="auto"/>
            <w:bottom w:val="none" w:sz="0" w:space="0" w:color="auto"/>
            <w:right w:val="none" w:sz="0" w:space="0" w:color="auto"/>
          </w:divBdr>
          <w:divsChild>
            <w:div w:id="257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erzeszow.pl/rada-miasta-rzeszowa/vi-kadencja-rady-miasta-2010-2014/sesje-vi-kadencji-rady-miasta/2013/xlvi-sesja-29-stycznia-2013-r/14268,uchwala-nr-xlvi887201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822</TotalTime>
  <Pages>3</Pages>
  <Words>981</Words>
  <Characters>5889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uchwały zmieniającej uchwałę Rady Miasta Rzeszowa – w sprawie ustanowienia ulg w opłatach za usługi przewozowe w publicznym transporcie zbiorowym w zakresie zadania o charakterze użyteczności publicznej na terenie Gminy Miasta Rzeszów: </dc:title>
  <dc:subject/>
  <dc:creator>Patrycja Zagaja</dc:creator>
  <cp:keywords/>
  <dc:description/>
  <cp:lastModifiedBy>Dec  Andrzej</cp:lastModifiedBy>
  <cp:revision>3</cp:revision>
  <dcterms:created xsi:type="dcterms:W3CDTF">2014-03-15T17:49:00Z</dcterms:created>
  <dcterms:modified xsi:type="dcterms:W3CDTF">2014-03-16T15:15:00Z</dcterms:modified>
</cp:coreProperties>
</file>